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42E4E" w14:textId="77777777" w:rsidR="00345B9C" w:rsidRPr="00B64FDF" w:rsidRDefault="00345B9C">
      <w:pPr>
        <w:rPr>
          <w:rFonts w:ascii="Times New Roman" w:hAnsi="Times New Roman"/>
        </w:rPr>
      </w:pPr>
    </w:p>
    <w:p w14:paraId="0A57365B" w14:textId="09EB45D0" w:rsidR="00B31433" w:rsidRPr="00B64FDF" w:rsidRDefault="00B31433" w:rsidP="00B31433">
      <w:pPr>
        <w:rPr>
          <w:rFonts w:ascii="Times New Roman" w:hAnsi="Times New Roman"/>
          <w:color w:val="000000" w:themeColor="text1"/>
          <w:lang w:val="hr-HR"/>
        </w:rPr>
      </w:pPr>
      <w:r w:rsidRPr="00B64FDF">
        <w:rPr>
          <w:rFonts w:ascii="Times New Roman" w:hAnsi="Times New Roman"/>
          <w:color w:val="000000" w:themeColor="text1"/>
          <w:lang w:val="hr-HR"/>
        </w:rPr>
        <w:t>4. Zaključ</w:t>
      </w:r>
      <w:r w:rsidR="00823BCA" w:rsidRPr="00B64FDF">
        <w:rPr>
          <w:rFonts w:ascii="Times New Roman" w:hAnsi="Times New Roman"/>
          <w:color w:val="000000" w:themeColor="text1"/>
          <w:lang w:val="hr-HR"/>
        </w:rPr>
        <w:t>ci</w:t>
      </w:r>
      <w:r w:rsidRPr="00B64FDF">
        <w:rPr>
          <w:rFonts w:ascii="Times New Roman" w:hAnsi="Times New Roman"/>
          <w:color w:val="000000" w:themeColor="text1"/>
          <w:lang w:val="hr-HR"/>
        </w:rPr>
        <w:t xml:space="preserve"> sa 4. Elektroničke sjednica Školskog odbora Ugostiteljske škole Opatija održane 23. lipnja 2025.godine.</w:t>
      </w:r>
    </w:p>
    <w:p w14:paraId="22FE4C12" w14:textId="77777777" w:rsidR="00B31433" w:rsidRPr="00B64FDF" w:rsidRDefault="00B31433" w:rsidP="00B31433">
      <w:pPr>
        <w:rPr>
          <w:rFonts w:ascii="Times New Roman" w:hAnsi="Times New Roman"/>
          <w:color w:val="000000" w:themeColor="text1"/>
          <w:lang w:val="hr-HR"/>
        </w:rPr>
      </w:pPr>
    </w:p>
    <w:p w14:paraId="29142113" w14:textId="7DBC06B9" w:rsidR="00B31433" w:rsidRPr="00B64FDF" w:rsidRDefault="00B31433" w:rsidP="00B31433">
      <w:pPr>
        <w:jc w:val="center"/>
        <w:rPr>
          <w:rFonts w:ascii="Times New Roman" w:hAnsi="Times New Roman"/>
          <w:b/>
          <w:bCs/>
          <w:color w:val="000000" w:themeColor="text1"/>
          <w:lang w:val="hr-HR"/>
        </w:rPr>
      </w:pPr>
      <w:r w:rsidRPr="00B64FDF">
        <w:rPr>
          <w:rFonts w:ascii="Times New Roman" w:hAnsi="Times New Roman"/>
          <w:b/>
          <w:bCs/>
          <w:color w:val="000000" w:themeColor="text1"/>
          <w:lang w:val="hr-HR"/>
        </w:rPr>
        <w:t>DNEVNI RED</w:t>
      </w:r>
    </w:p>
    <w:p w14:paraId="670D6701" w14:textId="77777777" w:rsidR="00B31433" w:rsidRPr="00B64FDF" w:rsidRDefault="00B31433">
      <w:pPr>
        <w:rPr>
          <w:rFonts w:ascii="Times New Roman" w:hAnsi="Times New Roman"/>
        </w:rPr>
      </w:pPr>
    </w:p>
    <w:p w14:paraId="58E057D0" w14:textId="226946A9" w:rsidR="00B31433" w:rsidRPr="00B64FDF" w:rsidRDefault="00B31433" w:rsidP="00760E5C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4FDF">
        <w:rPr>
          <w:rFonts w:ascii="Times New Roman" w:hAnsi="Times New Roman" w:cs="Times New Roman"/>
          <w:sz w:val="24"/>
          <w:szCs w:val="24"/>
        </w:rPr>
        <w:t>III. Izmjene i dopune Pravilnika o načinu i postupku zapošljavanja.</w:t>
      </w:r>
    </w:p>
    <w:p w14:paraId="70F1161D" w14:textId="77777777" w:rsidR="00B31433" w:rsidRPr="00B64FDF" w:rsidRDefault="00B31433">
      <w:pPr>
        <w:rPr>
          <w:rFonts w:ascii="Times New Roman" w:hAnsi="Times New Roman"/>
        </w:rPr>
      </w:pPr>
    </w:p>
    <w:p w14:paraId="168A53CB" w14:textId="2AFD4DAF" w:rsidR="00B31433" w:rsidRPr="00B64FDF" w:rsidRDefault="00760E5C" w:rsidP="00760E5C">
      <w:pPr>
        <w:jc w:val="center"/>
        <w:rPr>
          <w:rFonts w:ascii="Times New Roman" w:hAnsi="Times New Roman"/>
          <w:b/>
          <w:bCs/>
        </w:rPr>
      </w:pPr>
      <w:r w:rsidRPr="00B64FDF">
        <w:rPr>
          <w:rFonts w:ascii="Times New Roman" w:hAnsi="Times New Roman"/>
          <w:b/>
          <w:bCs/>
        </w:rPr>
        <w:t>Točka 1.</w:t>
      </w:r>
    </w:p>
    <w:p w14:paraId="0DD5519A" w14:textId="77777777" w:rsidR="00760E5C" w:rsidRPr="00B64FDF" w:rsidRDefault="00760E5C" w:rsidP="00760E5C">
      <w:pPr>
        <w:jc w:val="center"/>
        <w:rPr>
          <w:rFonts w:ascii="Times New Roman" w:hAnsi="Times New Roman"/>
          <w:b/>
          <w:bCs/>
        </w:rPr>
      </w:pPr>
    </w:p>
    <w:p w14:paraId="04F5267D" w14:textId="77777777" w:rsidR="00B31433" w:rsidRPr="00B64FDF" w:rsidRDefault="00B31433" w:rsidP="00B31433">
      <w:pPr>
        <w:tabs>
          <w:tab w:val="left" w:pos="851"/>
        </w:tabs>
        <w:contextualSpacing/>
        <w:rPr>
          <w:rFonts w:ascii="Times New Roman" w:hAnsi="Times New Roman"/>
        </w:rPr>
      </w:pPr>
      <w:r w:rsidRPr="00B64FDF">
        <w:rPr>
          <w:rFonts w:ascii="Times New Roman" w:hAnsi="Times New Roman"/>
          <w:color w:val="000000" w:themeColor="text1"/>
        </w:rPr>
        <w:t xml:space="preserve">Na temelju odredbe članka 107. stavak 9. Zakona o odgoju i obrazovanju u osnovnoj i srednjoj školi (NN 87/8, 86/9, 105/10, 90/11, </w:t>
      </w:r>
      <w:hyperlink r:id="rId6" w:history="1">
        <w:r w:rsidRPr="00B64FDF">
          <w:rPr>
            <w:rFonts w:ascii="Times New Roman" w:hAnsi="Times New Roman"/>
            <w:bCs/>
            <w:color w:val="000000" w:themeColor="text1"/>
          </w:rPr>
          <w:t>5/12</w:t>
        </w:r>
      </w:hyperlink>
      <w:r w:rsidRPr="00B64FDF">
        <w:rPr>
          <w:rFonts w:ascii="Times New Roman" w:hAnsi="Times New Roman"/>
          <w:color w:val="000000" w:themeColor="text1"/>
        </w:rPr>
        <w:t xml:space="preserve">, </w:t>
      </w:r>
      <w:hyperlink r:id="rId7" w:history="1">
        <w:r w:rsidRPr="00B64FDF">
          <w:rPr>
            <w:rFonts w:ascii="Times New Roman" w:hAnsi="Times New Roman"/>
            <w:bCs/>
            <w:color w:val="000000" w:themeColor="text1"/>
          </w:rPr>
          <w:t>16/12</w:t>
        </w:r>
      </w:hyperlink>
      <w:r w:rsidRPr="00B64FDF">
        <w:rPr>
          <w:rFonts w:ascii="Times New Roman" w:hAnsi="Times New Roman"/>
          <w:color w:val="000000" w:themeColor="text1"/>
        </w:rPr>
        <w:t xml:space="preserve">, </w:t>
      </w:r>
      <w:hyperlink r:id="rId8" w:history="1">
        <w:r w:rsidRPr="00B64FDF">
          <w:rPr>
            <w:rFonts w:ascii="Times New Roman" w:hAnsi="Times New Roman"/>
            <w:bCs/>
            <w:color w:val="000000" w:themeColor="text1"/>
          </w:rPr>
          <w:t>86/12</w:t>
        </w:r>
      </w:hyperlink>
      <w:r w:rsidRPr="00B64FDF">
        <w:rPr>
          <w:rFonts w:ascii="Times New Roman" w:hAnsi="Times New Roman"/>
          <w:color w:val="000000" w:themeColor="text1"/>
        </w:rPr>
        <w:t xml:space="preserve">, </w:t>
      </w:r>
      <w:hyperlink r:id="rId9" w:history="1">
        <w:r w:rsidRPr="00B64FDF">
          <w:rPr>
            <w:rFonts w:ascii="Times New Roman" w:hAnsi="Times New Roman"/>
            <w:bCs/>
            <w:color w:val="000000" w:themeColor="text1"/>
          </w:rPr>
          <w:t>126/12</w:t>
        </w:r>
      </w:hyperlink>
      <w:r w:rsidRPr="00B64FDF">
        <w:rPr>
          <w:rFonts w:ascii="Times New Roman" w:hAnsi="Times New Roman"/>
          <w:color w:val="000000" w:themeColor="text1"/>
        </w:rPr>
        <w:t xml:space="preserve">, </w:t>
      </w:r>
      <w:hyperlink r:id="rId10" w:history="1">
        <w:r w:rsidRPr="00B64FDF">
          <w:rPr>
            <w:rFonts w:ascii="Times New Roman" w:hAnsi="Times New Roman"/>
            <w:bCs/>
            <w:color w:val="000000" w:themeColor="text1"/>
          </w:rPr>
          <w:t>94/13</w:t>
        </w:r>
      </w:hyperlink>
      <w:r w:rsidRPr="00B64FDF">
        <w:rPr>
          <w:rFonts w:ascii="Times New Roman" w:hAnsi="Times New Roman"/>
          <w:color w:val="000000" w:themeColor="text1"/>
        </w:rPr>
        <w:t xml:space="preserve">, 152/14, 7/17, 68/18, </w:t>
      </w:r>
      <w:r w:rsidRPr="00B64FDF">
        <w:rPr>
          <w:rFonts w:ascii="Times New Roman" w:hAnsi="Times New Roman"/>
        </w:rPr>
        <w:t>98/19, 64/20, 151/22, 155/23, 156/23</w:t>
      </w:r>
      <w:r w:rsidRPr="00B64FDF">
        <w:rPr>
          <w:rFonts w:ascii="Times New Roman" w:hAnsi="Times New Roman"/>
          <w:color w:val="000000" w:themeColor="text1"/>
        </w:rPr>
        <w:t>) i odredbe članka 82. Statuta Ugostiteljske škole Opatija, Školski odbor Ugostiteljske škole Opatija na elektroničkoj sjednici održanoj dana 23.6.2025. godine donosi</w:t>
      </w:r>
      <w:r w:rsidRPr="00B64FDF">
        <w:rPr>
          <w:rFonts w:ascii="Times New Roman" w:hAnsi="Times New Roman"/>
        </w:rPr>
        <w:t>:</w:t>
      </w:r>
    </w:p>
    <w:p w14:paraId="4BD23CA9" w14:textId="36277EC5" w:rsidR="00B31433" w:rsidRPr="00B64FDF" w:rsidRDefault="00B31433" w:rsidP="00B31433">
      <w:pPr>
        <w:pStyle w:val="Naslov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64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(III.) IZMJENE I DOPUNE</w:t>
      </w:r>
    </w:p>
    <w:p w14:paraId="5B6E0286" w14:textId="77777777" w:rsidR="00B31433" w:rsidRPr="00B64FDF" w:rsidRDefault="00B31433" w:rsidP="00B31433">
      <w:pPr>
        <w:pStyle w:val="Naslov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64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PRAVILNIKA O NAČINU I POSTUPKU ZAPOŠLJAVANJA</w:t>
      </w:r>
    </w:p>
    <w:p w14:paraId="2663B46F" w14:textId="77777777" w:rsidR="00B31433" w:rsidRPr="00B64FDF" w:rsidRDefault="00B31433" w:rsidP="00B31433">
      <w:pPr>
        <w:rPr>
          <w:rFonts w:ascii="Times New Roman" w:hAnsi="Times New Roman"/>
          <w:b/>
          <w:bCs/>
          <w:color w:val="000000" w:themeColor="text1"/>
          <w:lang w:val="hr-HR"/>
        </w:rPr>
      </w:pPr>
    </w:p>
    <w:p w14:paraId="5A0DD36D" w14:textId="262FD554" w:rsidR="00B31433" w:rsidRPr="00B64FDF" w:rsidRDefault="00AA4D84" w:rsidP="00B31433">
      <w:pPr>
        <w:jc w:val="center"/>
        <w:rPr>
          <w:rFonts w:ascii="Times New Roman" w:hAnsi="Times New Roman"/>
          <w:bCs/>
          <w:color w:val="000000" w:themeColor="text1"/>
          <w:lang w:val="hr-HR"/>
        </w:rPr>
      </w:pPr>
      <w:r w:rsidRPr="00B64FDF">
        <w:rPr>
          <w:rFonts w:ascii="Times New Roman" w:hAnsi="Times New Roman"/>
          <w:bCs/>
          <w:color w:val="000000" w:themeColor="text1"/>
          <w:lang w:val="hr-HR"/>
        </w:rPr>
        <w:t>Članak 1.</w:t>
      </w:r>
    </w:p>
    <w:p w14:paraId="5F74D2EA" w14:textId="77777777" w:rsidR="00B31433" w:rsidRPr="00B64FDF" w:rsidRDefault="00B31433" w:rsidP="00B31433">
      <w:pPr>
        <w:rPr>
          <w:rFonts w:ascii="Times New Roman" w:hAnsi="Times New Roman"/>
          <w:color w:val="000000" w:themeColor="text1"/>
          <w:lang w:val="hr-HR"/>
        </w:rPr>
      </w:pPr>
      <w:r w:rsidRPr="00B64FDF">
        <w:rPr>
          <w:rFonts w:ascii="Times New Roman" w:hAnsi="Times New Roman"/>
          <w:color w:val="000000" w:themeColor="text1"/>
          <w:lang w:val="hr-HR"/>
        </w:rPr>
        <w:t>U Pravilniku o načinu i postupku zapošljavanja Klasa: 003-05/19-01/4, Urbroja: 2156-23/UG-01-19-02 od 21. veljače 2019. godine, Izmjene Pravilnika o načinu i postupku zapošljavanja Klasa:003-05/20-01/6, Urbroj: 2156-23/UG-01-20-05 od 07. svibnja 2020. godine, II. Izmjene Pravilnika o načinu i postupku zapošljavanja Klasa:003-05/21-01/24, Urbroj: 2156-23/UG-01-21-02 od 17. studenog 2021. godine, članak 4. mijenja se i glasi:</w:t>
      </w:r>
    </w:p>
    <w:p w14:paraId="1FCC3E71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“U skladu s Odlukom o zabrani novog zapošljavanja službenika i namještenika u javnim službama Škola je u obvezi podnijeti Zahtjev za suglasnost za odobrenje radnog mjesta Ministarstvu znanosti, obrazovanja i mladih (u daljnjem tekstu: Ministarstvo) u slučajevima navedenim u dopisu koje Ministarstvo dostavlja školskim ustanovama prije početka školske godine u vezi odobravanja radnih mjesta i podnošenja zahtjeva za izdavanje suglasnosti.</w:t>
      </w:r>
    </w:p>
    <w:p w14:paraId="798429F2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Zahtjev za izdavanje suglasnosti za odobrenje radnog mjesta podnosi ravnatelj Škole.”</w:t>
      </w:r>
    </w:p>
    <w:p w14:paraId="5E4A3242" w14:textId="77777777" w:rsidR="00B31433" w:rsidRPr="00B64FDF" w:rsidRDefault="00B31433" w:rsidP="00B31433">
      <w:pPr>
        <w:rPr>
          <w:rFonts w:ascii="Times New Roman" w:hAnsi="Times New Roman"/>
          <w:lang w:val="hr-HR"/>
        </w:rPr>
      </w:pPr>
    </w:p>
    <w:p w14:paraId="5F76E5DE" w14:textId="00614B80" w:rsidR="00B31433" w:rsidRPr="00B64FDF" w:rsidRDefault="00AA4D84" w:rsidP="00B31433">
      <w:pPr>
        <w:jc w:val="center"/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Članak 2.</w:t>
      </w:r>
    </w:p>
    <w:p w14:paraId="6F5D51F5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 xml:space="preserve">Članak 5. stavak 1. mijenja se i glasi: </w:t>
      </w:r>
    </w:p>
    <w:p w14:paraId="6A1E1BD0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201DE57D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“Nakon dobivanja suglasnosti Ministarstva za zapošljavanje na radno mjesto odnosno u slučajevima iz dopisa Ministarstva kada istu nije potrebno tražiti, Škola je u obvezi prijaviti potrebu za radnikom upravnom tijelu Primorsko-goranske županije nadležnom za poslove obrazovanja.”</w:t>
      </w:r>
    </w:p>
    <w:p w14:paraId="35F9A79B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459FABD1" w14:textId="3183F9AA" w:rsidR="00B31433" w:rsidRPr="00B64FDF" w:rsidRDefault="00AA4D84" w:rsidP="00B31433">
      <w:pPr>
        <w:jc w:val="center"/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Članak 3.</w:t>
      </w:r>
    </w:p>
    <w:p w14:paraId="198F47D8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Članak 6. mijenja se i glasi:</w:t>
      </w:r>
    </w:p>
    <w:p w14:paraId="28C3F7EC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“U slučaju kada upravno tijelo Primorsko-goranske županije nadležno za poslove obrazovanja uputi osobu/e u Školu, ravnateljica će obaviti razgovor sa upućenim osobama po redoslijedu upućivanja osoba od strane navedenog tijela.</w:t>
      </w:r>
    </w:p>
    <w:p w14:paraId="010AD308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174E9986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 xml:space="preserve">Osobi upućenoj od strane upravnog tijela Primorsko-goranske županije nadležnog za poslove obrazovanja koja je postigla dogovor o zasnivanju radnog odnosa, navedeno tijelo izdat će </w:t>
      </w:r>
      <w:r w:rsidRPr="00B64FDF">
        <w:rPr>
          <w:rFonts w:ascii="Times New Roman" w:hAnsi="Times New Roman"/>
          <w:color w:val="000000" w:themeColor="text1"/>
        </w:rPr>
        <w:lastRenderedPageBreak/>
        <w:t xml:space="preserve">Odluku o prednosti pri zapošljavanju i to nakon što je od istog tijela bio upućen po redoslijedu prednosti. </w:t>
      </w:r>
    </w:p>
    <w:p w14:paraId="3D646553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4F8FF69C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Na temelju odredbi Zakona o odgoju i obrazovanju u osnovnoj i srednjoj školi, osobu iz stavka 2. ovog članka, ravnatelj će predložiti Školskom odboru za dobivanje prethodne suglasnosti za zasnivanje radnog odnosa.”</w:t>
      </w:r>
    </w:p>
    <w:p w14:paraId="60F48B8C" w14:textId="77777777" w:rsidR="00B31433" w:rsidRPr="00B64FDF" w:rsidRDefault="00B31433" w:rsidP="00B31433">
      <w:pPr>
        <w:rPr>
          <w:rFonts w:ascii="Times New Roman" w:hAnsi="Times New Roman"/>
          <w:b/>
          <w:color w:val="000000" w:themeColor="text1"/>
          <w:lang w:val="hr-HR"/>
        </w:rPr>
      </w:pPr>
    </w:p>
    <w:p w14:paraId="209A61A3" w14:textId="6063ECEE" w:rsidR="00B31433" w:rsidRPr="00B64FDF" w:rsidRDefault="00AA4D84" w:rsidP="00B31433">
      <w:pPr>
        <w:jc w:val="center"/>
        <w:rPr>
          <w:rFonts w:ascii="Times New Roman" w:hAnsi="Times New Roman"/>
          <w:bCs/>
          <w:color w:val="000000" w:themeColor="text1"/>
          <w:lang w:val="hr-HR"/>
        </w:rPr>
      </w:pPr>
      <w:r w:rsidRPr="00B64FDF">
        <w:rPr>
          <w:rFonts w:ascii="Times New Roman" w:hAnsi="Times New Roman"/>
          <w:bCs/>
          <w:color w:val="000000" w:themeColor="text1"/>
          <w:lang w:val="hr-HR"/>
        </w:rPr>
        <w:t>Članak 4.</w:t>
      </w:r>
    </w:p>
    <w:p w14:paraId="5DA073A5" w14:textId="77777777" w:rsidR="00B31433" w:rsidRPr="00B64FDF" w:rsidRDefault="00B31433" w:rsidP="00B31433">
      <w:pPr>
        <w:rPr>
          <w:rFonts w:ascii="Times New Roman" w:hAnsi="Times New Roman"/>
          <w:b/>
          <w:color w:val="000000" w:themeColor="text1"/>
          <w:lang w:val="hr-HR"/>
        </w:rPr>
      </w:pPr>
      <w:r w:rsidRPr="00B64FDF">
        <w:rPr>
          <w:rFonts w:ascii="Times New Roman" w:hAnsi="Times New Roman"/>
          <w:color w:val="000000" w:themeColor="text1"/>
        </w:rPr>
        <w:t xml:space="preserve">Članak 18. se mijenja se i glasi:  </w:t>
      </w:r>
    </w:p>
    <w:p w14:paraId="6F815B14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 xml:space="preserve">“Testiranje se sastoji od pismene provjere znanja, provjere informatičke pismenosti kandidata te praktične provjere znanja, sposobnosti, motivacije i vještina ukoliko se ista provodi. </w:t>
      </w:r>
    </w:p>
    <w:p w14:paraId="508FFBCF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3EBC239E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Praktična provjera znanja za radna mjesta odgojno–obrazovnih radnika je provjera stručno-pedagoških i metodičkih kompetencija (održavanje oglednog nastavnog sata).</w:t>
      </w:r>
    </w:p>
    <w:p w14:paraId="52AF420F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2886153D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Odgojno-obrazovni radnici se testiraju u pravilu putem pismene provjere znanja i provjere informatičke pismenosti. Ukoliko dva i/ili više kandidata nakon pismene provjere znanja i provjere informatičke pismenosti imaju jednak broj bodova, prema odluci Povjerenstva može se provesti praktična provjera znanja, sposobnosti, motivacije i vještina iz stavka 2. ovog članka.</w:t>
      </w:r>
    </w:p>
    <w:p w14:paraId="3AE98C31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2CB41522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>Radna mjesta tajnika školske ustanove te voditelja računovodstva u školi se testiraju u pravilu pismenom provjerom znanja, i to primjenom propisa za tajnika odnosno primjenom računovodstvenih propisa za voditelja računovodstva, te provjerom informatičke pismenosti kandidata.”</w:t>
      </w:r>
    </w:p>
    <w:p w14:paraId="139B9152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</w:p>
    <w:p w14:paraId="5222B3B4" w14:textId="6C3D4EA7" w:rsidR="00B31433" w:rsidRPr="00B64FDF" w:rsidRDefault="00AA4D84" w:rsidP="00B31433">
      <w:pPr>
        <w:jc w:val="center"/>
        <w:rPr>
          <w:rFonts w:ascii="Times New Roman" w:hAnsi="Times New Roman"/>
          <w:bCs/>
          <w:color w:val="000000" w:themeColor="text1"/>
        </w:rPr>
      </w:pPr>
      <w:bookmarkStart w:id="0" w:name="_Hlk200645677"/>
      <w:r w:rsidRPr="00B64FDF">
        <w:rPr>
          <w:rFonts w:ascii="Times New Roman" w:hAnsi="Times New Roman"/>
          <w:bCs/>
          <w:color w:val="000000" w:themeColor="text1"/>
        </w:rPr>
        <w:t>Članak 5.</w:t>
      </w:r>
    </w:p>
    <w:bookmarkEnd w:id="0"/>
    <w:p w14:paraId="1854F415" w14:textId="77777777" w:rsidR="00B31433" w:rsidRPr="00B64FDF" w:rsidRDefault="00B31433" w:rsidP="00B31433">
      <w:pPr>
        <w:rPr>
          <w:rFonts w:ascii="Times New Roman" w:hAnsi="Times New Roman"/>
          <w:color w:val="000000"/>
        </w:rPr>
      </w:pPr>
      <w:r w:rsidRPr="00B64FDF">
        <w:rPr>
          <w:rFonts w:ascii="Times New Roman" w:hAnsi="Times New Roman"/>
          <w:color w:val="000000"/>
        </w:rPr>
        <w:t>Članak 19. stavak 2. se mijenja i glasi:</w:t>
      </w:r>
    </w:p>
    <w:p w14:paraId="0E248E7E" w14:textId="77777777" w:rsidR="00B31433" w:rsidRPr="00B64FDF" w:rsidRDefault="00B31433" w:rsidP="00B31433">
      <w:pPr>
        <w:rPr>
          <w:rFonts w:ascii="Times New Roman" w:hAnsi="Times New Roman"/>
          <w:color w:val="000000"/>
        </w:rPr>
      </w:pPr>
      <w:r w:rsidRPr="00B64FDF">
        <w:rPr>
          <w:rFonts w:ascii="Times New Roman" w:hAnsi="Times New Roman"/>
          <w:color w:val="000000"/>
        </w:rPr>
        <w:t>“Nakon održanog testiranja utvrđuje se ostvaren broj bodova na pismenoj provjeri znanja i provjeri informatičke pismenosti koji može iznositi ukupno 30 bodova.  Ukoliko se nakon pismene provjere znanja i provjere informatičke pismenosti provodi i praktična provjera znanja, nakon održane praktične provjere znanja svaki član Povjerenstva boduje kandidata bodovima od 0 do 10 bodova.”</w:t>
      </w:r>
    </w:p>
    <w:p w14:paraId="2B7B287A" w14:textId="77777777" w:rsidR="00B31433" w:rsidRPr="00B64FDF" w:rsidRDefault="00B31433" w:rsidP="00B31433">
      <w:pPr>
        <w:rPr>
          <w:rFonts w:ascii="Times New Roman" w:hAnsi="Times New Roman"/>
          <w:color w:val="000000"/>
        </w:rPr>
      </w:pPr>
    </w:p>
    <w:p w14:paraId="2ECCACB5" w14:textId="73700C70" w:rsidR="00B31433" w:rsidRPr="00B64FDF" w:rsidRDefault="00AA4D84" w:rsidP="00B31433">
      <w:pPr>
        <w:jc w:val="center"/>
        <w:rPr>
          <w:rFonts w:ascii="Times New Roman" w:hAnsi="Times New Roman"/>
          <w:bCs/>
          <w:color w:val="000000" w:themeColor="text1"/>
        </w:rPr>
      </w:pPr>
      <w:r w:rsidRPr="00B64FDF">
        <w:rPr>
          <w:rFonts w:ascii="Times New Roman" w:hAnsi="Times New Roman"/>
          <w:bCs/>
          <w:color w:val="000000" w:themeColor="text1"/>
        </w:rPr>
        <w:t>Članak 6.</w:t>
      </w:r>
    </w:p>
    <w:p w14:paraId="7D0A742A" w14:textId="77777777" w:rsidR="00B31433" w:rsidRPr="00B64FDF" w:rsidRDefault="00B31433" w:rsidP="00B31433">
      <w:pPr>
        <w:rPr>
          <w:rFonts w:ascii="Times New Roman" w:hAnsi="Times New Roman"/>
          <w:bCs/>
          <w:color w:val="000000" w:themeColor="text1"/>
        </w:rPr>
      </w:pPr>
      <w:r w:rsidRPr="00B64FDF">
        <w:rPr>
          <w:rFonts w:ascii="Times New Roman" w:hAnsi="Times New Roman"/>
          <w:bCs/>
          <w:color w:val="000000" w:themeColor="text1"/>
        </w:rPr>
        <w:t>Članak 22. stavak 1. se mijenja i glasi:</w:t>
      </w:r>
    </w:p>
    <w:p w14:paraId="15177C5A" w14:textId="77777777" w:rsidR="00B31433" w:rsidRPr="00B64FDF" w:rsidRDefault="00B31433" w:rsidP="00B31433">
      <w:pPr>
        <w:rPr>
          <w:rFonts w:ascii="Times New Roman" w:hAnsi="Times New Roman"/>
          <w:bCs/>
          <w:color w:val="000000" w:themeColor="text1"/>
        </w:rPr>
      </w:pPr>
    </w:p>
    <w:p w14:paraId="410A3D5F" w14:textId="77777777" w:rsidR="00B31433" w:rsidRPr="00B64FDF" w:rsidRDefault="00B31433" w:rsidP="00B31433">
      <w:pPr>
        <w:rPr>
          <w:rFonts w:ascii="Times New Roman" w:hAnsi="Times New Roman"/>
          <w:bCs/>
          <w:color w:val="000000" w:themeColor="text1"/>
        </w:rPr>
      </w:pPr>
      <w:r w:rsidRPr="00B64FDF">
        <w:rPr>
          <w:rFonts w:ascii="Times New Roman" w:hAnsi="Times New Roman"/>
          <w:bCs/>
          <w:color w:val="000000" w:themeColor="text1"/>
        </w:rPr>
        <w:t>“Na temelju dostavljene rang-liste kandidata, odnosno u slučaju iz čl. 17. st. 2. ovog Pravilnika ravnatelj odlučuje o kandidatu za kojeg će zatražiti prethodnu suglasnost Školskog odbora za zasnivanje radnog odnosa.”</w:t>
      </w:r>
    </w:p>
    <w:p w14:paraId="40E13396" w14:textId="77777777" w:rsidR="00B31433" w:rsidRPr="00B64FDF" w:rsidRDefault="00B31433" w:rsidP="00B31433">
      <w:pPr>
        <w:rPr>
          <w:rFonts w:ascii="Times New Roman" w:hAnsi="Times New Roman"/>
          <w:color w:val="000000"/>
        </w:rPr>
      </w:pPr>
    </w:p>
    <w:p w14:paraId="1A84E5AD" w14:textId="4FD245DE" w:rsidR="00B31433" w:rsidRPr="00B64FDF" w:rsidRDefault="00AA4D84" w:rsidP="00B31433">
      <w:pPr>
        <w:pStyle w:val="Tijeloteksta"/>
        <w:jc w:val="center"/>
        <w:rPr>
          <w:rFonts w:ascii="Times New Roman" w:hAnsi="Times New Roman"/>
          <w:bCs/>
          <w:color w:val="000000" w:themeColor="text1"/>
        </w:rPr>
      </w:pPr>
      <w:r w:rsidRPr="00B64FDF">
        <w:rPr>
          <w:rFonts w:ascii="Times New Roman" w:hAnsi="Times New Roman"/>
          <w:bCs/>
          <w:color w:val="000000" w:themeColor="text1"/>
        </w:rPr>
        <w:t>Članak 7.</w:t>
      </w:r>
    </w:p>
    <w:p w14:paraId="776BCBB3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 xml:space="preserve">Ove Izmjene i dopune stupaju na snagu danom dobivanja suglasnosti </w:t>
      </w:r>
      <w:r w:rsidRPr="00B64FDF">
        <w:rPr>
          <w:rFonts w:ascii="Times New Roman" w:hAnsi="Times New Roman"/>
        </w:rPr>
        <w:t>upravnog tijela Primorsko-goranske županije nadležnog za poslove obrazovanja</w:t>
      </w:r>
      <w:r w:rsidRPr="00B64FDF">
        <w:rPr>
          <w:rFonts w:ascii="Times New Roman" w:hAnsi="Times New Roman"/>
          <w:color w:val="000000" w:themeColor="text1"/>
        </w:rPr>
        <w:t xml:space="preserve">. </w:t>
      </w:r>
    </w:p>
    <w:p w14:paraId="7D729885" w14:textId="77777777" w:rsidR="00B31433" w:rsidRPr="00B64FDF" w:rsidRDefault="00B31433" w:rsidP="00B31433">
      <w:pPr>
        <w:rPr>
          <w:rFonts w:ascii="Times New Roman" w:hAnsi="Times New Roman"/>
          <w:color w:val="000000" w:themeColor="text1"/>
        </w:rPr>
      </w:pPr>
      <w:r w:rsidRPr="00B64FDF">
        <w:rPr>
          <w:rFonts w:ascii="Times New Roman" w:hAnsi="Times New Roman"/>
          <w:color w:val="000000" w:themeColor="text1"/>
        </w:rPr>
        <w:t xml:space="preserve">Danom zaprimanja suglasnosti iz stavka 1. ovoga članka, Izmjene i dopune će se objaviti na oglasnoj ploči i mrežnim stranicama Škole. </w:t>
      </w:r>
    </w:p>
    <w:p w14:paraId="221029CA" w14:textId="77777777" w:rsidR="00B31433" w:rsidRPr="00B64FDF" w:rsidRDefault="00B31433">
      <w:pPr>
        <w:rPr>
          <w:rFonts w:ascii="Times New Roman" w:hAnsi="Times New Roman"/>
        </w:rPr>
      </w:pPr>
    </w:p>
    <w:sectPr w:rsidR="00B31433" w:rsidRPr="00B6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814A8"/>
    <w:multiLevelType w:val="hybridMultilevel"/>
    <w:tmpl w:val="1ABE6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6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6E"/>
    <w:rsid w:val="000D3426"/>
    <w:rsid w:val="001E4416"/>
    <w:rsid w:val="00345B9C"/>
    <w:rsid w:val="006B7311"/>
    <w:rsid w:val="00745E96"/>
    <w:rsid w:val="00760E5C"/>
    <w:rsid w:val="00805A6E"/>
    <w:rsid w:val="00823BCA"/>
    <w:rsid w:val="008729BC"/>
    <w:rsid w:val="00AA4D84"/>
    <w:rsid w:val="00B31433"/>
    <w:rsid w:val="00B64FDF"/>
    <w:rsid w:val="00B744A3"/>
    <w:rsid w:val="00C3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47625"/>
  <w15:chartTrackingRefBased/>
  <w15:docId w15:val="{D3DBA7BF-453D-4E53-BD68-4028FB6A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433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805A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r-HR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05A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r-HR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05A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hr-HR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05A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hr-HR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05A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hr-HR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05A6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hr-HR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05A6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hr-HR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05A6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hr-HR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05A6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05A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05A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05A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05A6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05A6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05A6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05A6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05A6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05A6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05A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805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05A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805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05A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hr-HR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805A6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05A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hr-HR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805A6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05A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hr-HR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05A6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05A6E"/>
    <w:rPr>
      <w:b/>
      <w:bCs/>
      <w:smallCaps/>
      <w:color w:val="0F4761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B31433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B31433"/>
    <w:rPr>
      <w:rFonts w:ascii="Arial" w:eastAsia="Times New Roman" w:hAnsi="Arial" w:cs="Times New Roman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73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on.hr/cms.htm?id=72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on.hr/cms.htm?id=7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akon.hr/cms.htm?id=4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18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BE48-5FCA-42D1-8E95-5BA7B5EF8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7</cp:revision>
  <dcterms:created xsi:type="dcterms:W3CDTF">2026-07-21T07:15:00Z</dcterms:created>
  <dcterms:modified xsi:type="dcterms:W3CDTF">2026-07-21T10:00:00Z</dcterms:modified>
</cp:coreProperties>
</file>